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171ABA">
        <w:trPr>
          <w:trHeight w:val="1615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center"/>
          </w:tcPr>
          <w:sdt>
            <w:sdtPr>
              <w:alias w:val="Document title"/>
              <w:tag w:val="Document title"/>
              <w:id w:val="1744602064"/>
              <w:placeholder>
                <w:docPart w:val="11076F09AE8C4CCA8D4B16CFDBF21837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ED1561" w:rsidRPr="000F044B" w:rsidRDefault="00B6755A" w:rsidP="00B6755A">
                <w:pPr>
                  <w:pStyle w:val="Title"/>
                  <w:spacing w:before="0" w:after="0"/>
                </w:pPr>
                <w:r>
                  <w:t>Teacher</w:t>
                </w:r>
                <w:r w:rsidR="00193D0A">
                  <w:t xml:space="preserve"> decision-</w:t>
                </w:r>
                <w:r w:rsidR="00B10FEC">
                  <w:t>making in the early years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950CB6" w:rsidRPr="00E50FFD" w:rsidRDefault="00950CB6" w:rsidP="00E50FFD">
      <w:pPr>
        <w:sectPr w:rsidR="00950CB6" w:rsidRPr="00E50FFD" w:rsidSect="001D11D6">
          <w:footerReference w:type="even" r:id="rId14"/>
          <w:footerReference w:type="default" r:id="rId15"/>
          <w:type w:val="continuous"/>
          <w:pgSz w:w="16840" w:h="11907" w:orient="landscape" w:code="9"/>
          <w:pgMar w:top="1440" w:right="1080" w:bottom="1440" w:left="1080" w:header="567" w:footer="425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1323AA" w:rsidRDefault="00F1198F" w:rsidP="001323AA">
      <w:pPr>
        <w:pStyle w:val="BodyText"/>
      </w:pPr>
      <w:r>
        <w:t xml:space="preserve">This </w:t>
      </w:r>
      <w:r w:rsidR="007A1268">
        <w:t>resource</w:t>
      </w:r>
      <w:r>
        <w:t xml:space="preserve"> </w:t>
      </w:r>
      <w:r w:rsidR="00BA400D">
        <w:t>identifies considerations</w:t>
      </w:r>
      <w:r w:rsidR="00551D60">
        <w:t xml:space="preserve"> for early years</w:t>
      </w:r>
      <w:r w:rsidR="0085374A">
        <w:t>’</w:t>
      </w:r>
      <w:r w:rsidR="00551D60">
        <w:t xml:space="preserve"> teachers</w:t>
      </w:r>
      <w:r w:rsidR="0081314F">
        <w:t xml:space="preserve"> when making </w:t>
      </w:r>
      <w:r w:rsidR="00551D60">
        <w:t>decisions</w:t>
      </w:r>
      <w:r w:rsidR="00AD7277">
        <w:t xml:space="preserve"> </w:t>
      </w:r>
      <w:r w:rsidR="00BA400D">
        <w:t>to meet the characteristics of Prep learners</w:t>
      </w:r>
      <w:r w:rsidR="00171ABA">
        <w:t>.</w:t>
      </w:r>
    </w:p>
    <w:tbl>
      <w:tblPr>
        <w:tblStyle w:val="TableGrid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4"/>
        <w:gridCol w:w="7286"/>
      </w:tblGrid>
      <w:tr w:rsidR="00526142" w:rsidTr="00526142">
        <w:trPr>
          <w:cantSplit/>
        </w:trPr>
        <w:tc>
          <w:tcPr>
            <w:tcW w:w="6521" w:type="dxa"/>
          </w:tcPr>
          <w:tbl>
            <w:tblPr>
              <w:tblStyle w:val="QCAAtablestyle1"/>
              <w:tblW w:w="651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6"/>
            </w:tblGrid>
            <w:tr w:rsidR="0085374A" w:rsidRPr="003D1F62" w:rsidTr="007061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20"/>
              </w:trPr>
              <w:tc>
                <w:tcPr>
                  <w:tcW w:w="6516" w:type="dxa"/>
                </w:tcPr>
                <w:p w:rsidR="0085374A" w:rsidRPr="003D1F62" w:rsidRDefault="00193D0A" w:rsidP="00D051D8">
                  <w:pPr>
                    <w:pStyle w:val="TableHeading"/>
                  </w:pPr>
                  <w:r>
                    <w:t>Decision-</w:t>
                  </w:r>
                  <w:r w:rsidR="0085374A">
                    <w:t>making for Prep learners</w:t>
                  </w:r>
                </w:p>
              </w:tc>
            </w:tr>
            <w:tr w:rsidR="0085374A" w:rsidTr="00706150">
              <w:trPr>
                <w:cantSplit/>
                <w:trHeight w:val="20"/>
              </w:trPr>
              <w:tc>
                <w:tcPr>
                  <w:tcW w:w="6516" w:type="dxa"/>
                  <w:shd w:val="clear" w:color="auto" w:fill="D9D9D9" w:themeFill="background1" w:themeFillShade="D9"/>
                  <w:vAlign w:val="center"/>
                </w:tcPr>
                <w:p w:rsidR="0085374A" w:rsidRDefault="0085374A" w:rsidP="00B97944">
                  <w:pPr>
                    <w:pStyle w:val="Tablesubhead"/>
                    <w:spacing w:before="20" w:after="20"/>
                  </w:pPr>
                  <w:r>
                    <w:t>Who are prep learners?</w:t>
                  </w:r>
                </w:p>
              </w:tc>
            </w:tr>
            <w:tr w:rsidR="0085374A" w:rsidRPr="00171ABA" w:rsidTr="00706150">
              <w:trPr>
                <w:cantSplit/>
                <w:trHeight w:val="20"/>
              </w:trPr>
              <w:tc>
                <w:tcPr>
                  <w:tcW w:w="6516" w:type="dxa"/>
                </w:tcPr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t xml:space="preserve">Prep learners are: 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members of families and communities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communicators and language users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capable of learning and have prior knowledge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capable of making choices and decisions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active learners</w:t>
                  </w:r>
                </w:p>
                <w:p w:rsidR="0085374A" w:rsidRPr="00171ABA" w:rsidRDefault="0085374A" w:rsidP="00B97944">
                  <w:pPr>
                    <w:pStyle w:val="TableBullet"/>
                  </w:pPr>
                  <w:proofErr w:type="gramStart"/>
                  <w:r w:rsidRPr="00171ABA">
                    <w:t>diverse</w:t>
                  </w:r>
                  <w:proofErr w:type="gramEnd"/>
                  <w:r w:rsidRPr="00171ABA">
                    <w:t>.</w:t>
                  </w:r>
                </w:p>
              </w:tc>
            </w:tr>
            <w:tr w:rsidR="0085374A" w:rsidTr="00706150">
              <w:trPr>
                <w:cantSplit/>
                <w:trHeight w:val="20"/>
              </w:trPr>
              <w:tc>
                <w:tcPr>
                  <w:tcW w:w="6516" w:type="dxa"/>
                  <w:shd w:val="clear" w:color="auto" w:fill="D9D9D9" w:themeFill="background1" w:themeFillShade="D9"/>
                  <w:vAlign w:val="center"/>
                </w:tcPr>
                <w:p w:rsidR="0085374A" w:rsidRDefault="0085374A" w:rsidP="00B97944">
                  <w:pPr>
                    <w:pStyle w:val="Tablesubhead"/>
                    <w:spacing w:before="20" w:after="20"/>
                  </w:pPr>
                  <w:r>
                    <w:t>Planning</w:t>
                  </w:r>
                </w:p>
              </w:tc>
            </w:tr>
            <w:tr w:rsidR="0085374A" w:rsidRPr="00171ABA" w:rsidTr="00706150">
              <w:trPr>
                <w:cantSplit/>
                <w:trHeight w:val="20"/>
              </w:trPr>
              <w:tc>
                <w:tcPr>
                  <w:tcW w:w="6516" w:type="dxa"/>
                </w:tcPr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rPr>
                      <w:b/>
                      <w:i/>
                    </w:rPr>
                    <w:t>Planning</w:t>
                  </w:r>
                  <w:r w:rsidRPr="00171ABA">
                    <w:t xml:space="preserve"> for teaching, learning, monitoring and assessment requires a range and balance of pedagogical approaches and opportunities for learning including: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real-life</w:t>
                  </w:r>
                  <w:r>
                    <w:t xml:space="preserve"> and </w:t>
                  </w:r>
                  <w:r w:rsidRPr="00171ABA">
                    <w:t>imaginary learning experiences and activities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spontaneous</w:t>
                  </w:r>
                  <w:r>
                    <w:t xml:space="preserve"> and </w:t>
                  </w:r>
                  <w:r w:rsidRPr="00171ABA">
                    <w:t>planned learning</w:t>
                  </w:r>
                </w:p>
                <w:p w:rsidR="0085374A" w:rsidRDefault="0085374A" w:rsidP="00D051D8">
                  <w:pPr>
                    <w:pStyle w:val="TableBullet"/>
                  </w:pPr>
                  <w:proofErr w:type="gramStart"/>
                  <w:r>
                    <w:t>child-initiated</w:t>
                  </w:r>
                  <w:proofErr w:type="gramEnd"/>
                  <w:r>
                    <w:t xml:space="preserve"> and </w:t>
                  </w:r>
                  <w:r w:rsidRPr="00171ABA">
                    <w:t>adult-initiated learning</w:t>
                  </w:r>
                  <w:r>
                    <w:t>.</w:t>
                  </w:r>
                </w:p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t xml:space="preserve">In the transition to </w:t>
                  </w:r>
                  <w:r>
                    <w:t>school, this must include focus</w:t>
                  </w:r>
                  <w:r w:rsidRPr="00171ABA">
                    <w:t>ed teaching of skills for successful learning at school, including: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 xml:space="preserve">understanding school routines and procedures 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self-regulation, taking responsibility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proofErr w:type="gramStart"/>
                  <w:r w:rsidRPr="00171ABA">
                    <w:t>sustained</w:t>
                  </w:r>
                  <w:proofErr w:type="gramEnd"/>
                  <w:r w:rsidRPr="00171ABA">
                    <w:t xml:space="preserve"> participation in activities</w:t>
                  </w:r>
                  <w:r>
                    <w:t>.</w:t>
                  </w:r>
                </w:p>
              </w:tc>
            </w:tr>
            <w:tr w:rsidR="0085374A" w:rsidTr="00706150">
              <w:trPr>
                <w:cantSplit/>
                <w:trHeight w:val="20"/>
              </w:trPr>
              <w:tc>
                <w:tcPr>
                  <w:tcW w:w="6516" w:type="dxa"/>
                  <w:shd w:val="clear" w:color="auto" w:fill="D9D9D9" w:themeFill="background1" w:themeFillShade="D9"/>
                  <w:vAlign w:val="center"/>
                </w:tcPr>
                <w:p w:rsidR="0085374A" w:rsidRDefault="0085374A" w:rsidP="00B97944">
                  <w:pPr>
                    <w:pStyle w:val="Tablesubhead"/>
                    <w:spacing w:before="20" w:after="20"/>
                  </w:pPr>
                  <w:r>
                    <w:t>Priorities</w:t>
                  </w:r>
                </w:p>
              </w:tc>
            </w:tr>
            <w:tr w:rsidR="0085374A" w:rsidRPr="00171ABA" w:rsidTr="00706150">
              <w:trPr>
                <w:cantSplit/>
                <w:trHeight w:val="20"/>
              </w:trPr>
              <w:tc>
                <w:tcPr>
                  <w:tcW w:w="6516" w:type="dxa"/>
                </w:tcPr>
                <w:p w:rsidR="0085374A" w:rsidRPr="00171ABA" w:rsidRDefault="0085374A" w:rsidP="00D051D8">
                  <w:pPr>
                    <w:pStyle w:val="TableText"/>
                  </w:pPr>
                  <w:r w:rsidRPr="0081314F">
                    <w:rPr>
                      <w:b/>
                      <w:i/>
                    </w:rPr>
                    <w:t>Priorities</w:t>
                  </w:r>
                  <w:r>
                    <w:t xml:space="preserve"> include</w:t>
                  </w:r>
                  <w:r w:rsidRPr="00171ABA">
                    <w:t>:</w:t>
                  </w:r>
                </w:p>
                <w:p w:rsidR="00B6755A" w:rsidRPr="00171ABA" w:rsidRDefault="00B6755A" w:rsidP="00B6755A">
                  <w:pPr>
                    <w:pStyle w:val="TableBullet"/>
                  </w:pPr>
                  <w:r w:rsidRPr="00171ABA">
                    <w:t>Australian Curriculum</w:t>
                  </w:r>
                </w:p>
                <w:p w:rsidR="00B6755A" w:rsidRDefault="00B6755A" w:rsidP="00B6755A">
                  <w:pPr>
                    <w:pStyle w:val="TableBullet"/>
                  </w:pPr>
                  <w:r w:rsidRPr="00171ABA">
                    <w:t>Queensland Curriculum</w:t>
                  </w:r>
                  <w:r>
                    <w:t xml:space="preserve"> </w:t>
                  </w:r>
                  <w:r w:rsidRPr="00171ABA">
                    <w:t>Early Years Curriculum Guidelines</w:t>
                  </w:r>
                </w:p>
                <w:p w:rsidR="0085374A" w:rsidRPr="00171ABA" w:rsidRDefault="0085374A" w:rsidP="00B6755A">
                  <w:pPr>
                    <w:pStyle w:val="TableBullet"/>
                  </w:pPr>
                  <w:r w:rsidRPr="00171ABA">
                    <w:t>system priorities</w:t>
                  </w:r>
                </w:p>
                <w:p w:rsidR="0085374A" w:rsidRPr="00171ABA" w:rsidRDefault="0085374A" w:rsidP="00193D0A">
                  <w:pPr>
                    <w:pStyle w:val="TableBullet"/>
                    <w:spacing w:after="60"/>
                  </w:pPr>
                  <w:proofErr w:type="gramStart"/>
                  <w:r w:rsidRPr="00171ABA">
                    <w:t>school</w:t>
                  </w:r>
                  <w:proofErr w:type="gramEnd"/>
                  <w:r w:rsidRPr="00171ABA">
                    <w:t xml:space="preserve"> priorities</w:t>
                  </w:r>
                  <w:r w:rsidR="00B6755A">
                    <w:t>.</w:t>
                  </w:r>
                </w:p>
              </w:tc>
            </w:tr>
          </w:tbl>
          <w:p w:rsidR="0085374A" w:rsidRDefault="0085374A" w:rsidP="001323AA">
            <w:pPr>
              <w:pStyle w:val="BodyText"/>
            </w:pPr>
          </w:p>
        </w:tc>
        <w:tc>
          <w:tcPr>
            <w:tcW w:w="144" w:type="dxa"/>
          </w:tcPr>
          <w:p w:rsidR="0085374A" w:rsidRDefault="0085374A" w:rsidP="00526142">
            <w:pPr>
              <w:pStyle w:val="BodyText"/>
              <w:ind w:left="-189" w:firstLine="47"/>
            </w:pPr>
          </w:p>
        </w:tc>
        <w:tc>
          <w:tcPr>
            <w:tcW w:w="7287" w:type="dxa"/>
          </w:tcPr>
          <w:tbl>
            <w:tblPr>
              <w:tblStyle w:val="QCAAtablestyle1"/>
              <w:tblW w:w="706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62"/>
            </w:tblGrid>
            <w:tr w:rsidR="0085374A" w:rsidTr="005261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</w:tcPr>
                <w:p w:rsidR="0085374A" w:rsidRDefault="0085374A" w:rsidP="00D051D8">
                  <w:pPr>
                    <w:pStyle w:val="TableHeading"/>
                  </w:pPr>
                  <w:r>
                    <w:t>Pedagogical approaches</w:t>
                  </w:r>
                </w:p>
              </w:tc>
            </w:tr>
            <w:tr w:rsidR="0085374A" w:rsidTr="00526142">
              <w:trPr>
                <w:trHeight w:val="28"/>
              </w:trPr>
              <w:tc>
                <w:tcPr>
                  <w:tcW w:w="7062" w:type="dxa"/>
                  <w:tcBorders>
                    <w:top w:val="single" w:sz="12" w:space="0" w:color="D52B1E"/>
                    <w:bottom w:val="single" w:sz="4" w:space="0" w:color="A6A8AB"/>
                    <w:right w:val="single" w:sz="4" w:space="0" w:color="A6A8AB"/>
                  </w:tcBorders>
                  <w:shd w:val="clear" w:color="auto" w:fill="D9D9D9" w:themeFill="background1" w:themeFillShade="D9"/>
                  <w:vAlign w:val="center"/>
                </w:tcPr>
                <w:p w:rsidR="0085374A" w:rsidRDefault="0085374A" w:rsidP="00B97944">
                  <w:pPr>
                    <w:pStyle w:val="Tablesubhead"/>
                    <w:spacing w:before="20" w:after="20"/>
                  </w:pPr>
                  <w:r>
                    <w:t>Approaches</w:t>
                  </w:r>
                </w:p>
              </w:tc>
            </w:tr>
            <w:tr w:rsidR="0085374A" w:rsidTr="00E05C18">
              <w:trPr>
                <w:trHeight w:val="28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</w:tcPr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t>Teachers should use a range and balance of pedagogical approaches including: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learning through play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inquiry learning</w:t>
                  </w:r>
                </w:p>
                <w:p w:rsidR="0085374A" w:rsidRDefault="0085374A" w:rsidP="00D051D8">
                  <w:pPr>
                    <w:pStyle w:val="TableBullet"/>
                  </w:pPr>
                  <w:r w:rsidRPr="00171ABA">
                    <w:t>event-based learning</w:t>
                  </w:r>
                </w:p>
                <w:p w:rsidR="0085374A" w:rsidRDefault="0085374A" w:rsidP="00D051D8">
                  <w:pPr>
                    <w:pStyle w:val="TableBullet"/>
                    <w:rPr>
                      <w:i/>
                    </w:rPr>
                  </w:pPr>
                  <w:r w:rsidRPr="007950ED">
                    <w:rPr>
                      <w:i/>
                    </w:rPr>
                    <w:t xml:space="preserve">[add </w:t>
                  </w:r>
                  <w:r>
                    <w:rPr>
                      <w:i/>
                    </w:rPr>
                    <w:t>other</w:t>
                  </w:r>
                  <w:r w:rsidRPr="007950E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pedagogies here</w:t>
                  </w:r>
                  <w:r w:rsidRPr="007950ED">
                    <w:rPr>
                      <w:i/>
                    </w:rPr>
                    <w:t>]</w:t>
                  </w:r>
                </w:p>
                <w:p w:rsidR="00B97944" w:rsidRDefault="00B97944" w:rsidP="00B97944">
                  <w:pPr>
                    <w:pStyle w:val="TableBullet"/>
                  </w:pPr>
                </w:p>
                <w:p w:rsidR="00B97944" w:rsidRPr="007950ED" w:rsidRDefault="00B97944" w:rsidP="00B97944">
                  <w:pPr>
                    <w:pStyle w:val="TableBullet"/>
                  </w:pPr>
                </w:p>
              </w:tc>
            </w:tr>
            <w:tr w:rsidR="0085374A" w:rsidTr="00E05C18">
              <w:trPr>
                <w:trHeight w:val="28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  <w:shd w:val="clear" w:color="auto" w:fill="D9D9D9" w:themeFill="background1" w:themeFillShade="D9"/>
                  <w:vAlign w:val="center"/>
                </w:tcPr>
                <w:p w:rsidR="0085374A" w:rsidRDefault="0085374A" w:rsidP="00B97944">
                  <w:pPr>
                    <w:pStyle w:val="Tablesubhead"/>
                    <w:spacing w:before="20" w:after="20"/>
                  </w:pPr>
                  <w:r>
                    <w:t>Qualities</w:t>
                  </w:r>
                </w:p>
              </w:tc>
            </w:tr>
            <w:tr w:rsidR="0085374A" w:rsidTr="00E05C18">
              <w:trPr>
                <w:trHeight w:val="28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</w:tcPr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t>Qualities of age-appropriate pedagogical approaches include: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high-quality interactions, including language modelling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sustained shared thinking</w:t>
                  </w:r>
                  <w:bookmarkStart w:id="1" w:name="_GoBack"/>
                  <w:bookmarkEnd w:id="1"/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 xml:space="preserve">scaffolding 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feedback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proofErr w:type="gramStart"/>
                  <w:r w:rsidRPr="00171ABA">
                    <w:t>higher-order</w:t>
                  </w:r>
                  <w:proofErr w:type="gramEnd"/>
                  <w:r w:rsidRPr="00171ABA">
                    <w:t xml:space="preserve"> thinking.</w:t>
                  </w:r>
                </w:p>
              </w:tc>
            </w:tr>
            <w:tr w:rsidR="0085374A" w:rsidTr="00E05C18">
              <w:trPr>
                <w:trHeight w:val="193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  <w:shd w:val="clear" w:color="auto" w:fill="D9D9D9" w:themeFill="background1" w:themeFillShade="D9"/>
                </w:tcPr>
                <w:p w:rsidR="0085374A" w:rsidRDefault="0085374A" w:rsidP="00D051D8">
                  <w:pPr>
                    <w:pStyle w:val="Tablesubhead"/>
                    <w:spacing w:before="20" w:after="20"/>
                  </w:pPr>
                  <w:r>
                    <w:t>Characteristics</w:t>
                  </w:r>
                </w:p>
              </w:tc>
            </w:tr>
            <w:tr w:rsidR="0085374A" w:rsidTr="00E05C18">
              <w:trPr>
                <w:trHeight w:val="2335"/>
              </w:trPr>
              <w:tc>
                <w:tcPr>
                  <w:tcW w:w="7062" w:type="dxa"/>
                  <w:tcBorders>
                    <w:right w:val="single" w:sz="4" w:space="0" w:color="A6A8AB"/>
                  </w:tcBorders>
                </w:tcPr>
                <w:p w:rsidR="0085374A" w:rsidRPr="00171ABA" w:rsidRDefault="0085374A" w:rsidP="00D051D8">
                  <w:pPr>
                    <w:pStyle w:val="TableText"/>
                  </w:pPr>
                  <w:r w:rsidRPr="00171ABA">
                    <w:t>Age-appropriate pedagogies are active, language rich, collaborative and playful and have the following characteristics: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relational — between teacher and learners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personalise learning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respond to diverse abilities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actively engage children in learning</w:t>
                  </w:r>
                </w:p>
                <w:p w:rsidR="0085374A" w:rsidRPr="00171ABA" w:rsidRDefault="0085374A" w:rsidP="00D051D8">
                  <w:pPr>
                    <w:pStyle w:val="TableBullet"/>
                  </w:pPr>
                  <w:r w:rsidRPr="00171ABA">
                    <w:t>are inclusive and culturally responsive</w:t>
                  </w:r>
                </w:p>
                <w:p w:rsidR="0085374A" w:rsidRDefault="0085374A" w:rsidP="00D051D8">
                  <w:pPr>
                    <w:pStyle w:val="TableBullet"/>
                  </w:pPr>
                  <w:proofErr w:type="gramStart"/>
                  <w:r w:rsidRPr="00171ABA">
                    <w:t>acknowledge</w:t>
                  </w:r>
                  <w:proofErr w:type="gramEnd"/>
                  <w:r w:rsidRPr="00171ABA">
                    <w:t xml:space="preserve"> and build on the unique abilities of all learners.</w:t>
                  </w:r>
                </w:p>
                <w:p w:rsidR="00706150" w:rsidRPr="00706150" w:rsidRDefault="00706150" w:rsidP="00706150">
                  <w:pPr>
                    <w:spacing w:after="0"/>
                  </w:pPr>
                </w:p>
                <w:p w:rsidR="00706150" w:rsidRPr="00171ABA" w:rsidRDefault="00706150" w:rsidP="00706150">
                  <w:pPr>
                    <w:pStyle w:val="TableBullet"/>
                    <w:numPr>
                      <w:ilvl w:val="0"/>
                      <w:numId w:val="0"/>
                    </w:numPr>
                    <w:spacing w:before="0" w:after="0"/>
                    <w:ind w:left="170" w:hanging="170"/>
                  </w:pPr>
                </w:p>
              </w:tc>
            </w:tr>
          </w:tbl>
          <w:p w:rsidR="0085374A" w:rsidRDefault="0085374A" w:rsidP="001323AA">
            <w:pPr>
              <w:pStyle w:val="BodyText"/>
            </w:pPr>
          </w:p>
        </w:tc>
      </w:tr>
    </w:tbl>
    <w:p w:rsidR="0085374A" w:rsidRDefault="0085374A" w:rsidP="0085374A">
      <w:pPr>
        <w:pStyle w:val="Smallspace"/>
      </w:pPr>
    </w:p>
    <w:sectPr w:rsidR="0085374A" w:rsidSect="00706150">
      <w:footerReference w:type="default" r:id="rId16"/>
      <w:type w:val="continuous"/>
      <w:pgSz w:w="16840" w:h="11907" w:orient="landscape" w:code="9"/>
      <w:pgMar w:top="1134" w:right="1418" w:bottom="1985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22" w:rsidRDefault="00094122">
      <w:r>
        <w:separator/>
      </w:r>
    </w:p>
    <w:p w:rsidR="00094122" w:rsidRDefault="00094122"/>
  </w:endnote>
  <w:endnote w:type="continuationSeparator" w:id="0">
    <w:p w:rsidR="00094122" w:rsidRDefault="00094122">
      <w:r>
        <w:continuationSeparator/>
      </w:r>
    </w:p>
    <w:p w:rsidR="00094122" w:rsidRDefault="00094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299"/>
      <w:gridCol w:w="10170"/>
    </w:tblGrid>
    <w:tr w:rsidR="00393EEB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56BC02A0B1794DD981E5BC6ADAC20F10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93EEB" w:rsidRDefault="00393EEB" w:rsidP="0093255E">
              <w:pPr>
                <w:pStyle w:val="Footer"/>
              </w:pPr>
              <w:r>
                <w:t xml:space="preserve">     </w:t>
              </w:r>
            </w:p>
          </w:sdtContent>
        </w:sdt>
        <w:p w:rsidR="00393EEB" w:rsidRPr="00FD561F" w:rsidRDefault="00C40BF4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D65250BC5C8946C3812EF8ACD98DE7E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93EEB">
                <w:t xml:space="preserve">     </w:t>
              </w:r>
            </w:sdtContent>
          </w:sdt>
          <w:r w:rsidR="00393EEB">
            <w:tab/>
          </w:r>
        </w:p>
      </w:tc>
      <w:tc>
        <w:tcPr>
          <w:tcW w:w="2911" w:type="pct"/>
        </w:tcPr>
        <w:p w:rsidR="00393EEB" w:rsidRDefault="00393EEB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393EEB" w:rsidRPr="000F044B" w:rsidRDefault="00C40BF4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3EEB">
                <w:t>[Publish Date]</w:t>
              </w:r>
            </w:sdtContent>
          </w:sdt>
          <w:r w:rsidR="00393EEB" w:rsidRPr="000F044B">
            <w:t xml:space="preserve"> </w:t>
          </w:r>
        </w:p>
      </w:tc>
    </w:tr>
    <w:tr w:rsidR="00393EEB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393EEB" w:rsidRPr="00914504" w:rsidRDefault="00393EEB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C40BF4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C40BF4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393EEB" w:rsidRPr="0085726A" w:rsidRDefault="00393EEB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EB" w:rsidRDefault="00393EEB" w:rsidP="00DA76A0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6BB2EB" wp14:editId="1EBBCA59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EEB" w:rsidRDefault="00C40BF4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171ABA">
                                <w:t>150819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393EEB" w:rsidRDefault="00094122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171ABA">
                          <w:t>150819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54E7E2B" wp14:editId="4F4AF630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393EEB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393EEB" w:rsidRDefault="00193D0A" w:rsidP="00860473">
              <w:pPr>
                <w:pStyle w:val="Footer"/>
              </w:pPr>
              <w:r>
                <w:t>Teacher decision-making in the early years</w:t>
              </w:r>
            </w:p>
          </w:sdtContent>
        </w:sdt>
        <w:sdt>
          <w:sdtPr>
            <w:alias w:val="Document subtitle"/>
            <w:tag w:val="Document subtitle"/>
            <w:id w:val="-1855874183"/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393EEB" w:rsidRPr="007B16C7" w:rsidRDefault="00393EEB" w:rsidP="007B16C7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 w:rsidRPr="00867EED">
                <w:rPr>
                  <w:shd w:val="clear" w:color="auto" w:fill="F7EA9F" w:themeFill="accent6"/>
                </w:rPr>
                <w:t>[Subtitle]</w:t>
              </w:r>
            </w:p>
          </w:sdtContent>
        </w:sdt>
      </w:tc>
      <w:tc>
        <w:tcPr>
          <w:tcW w:w="2500" w:type="pct"/>
        </w:tcPr>
        <w:p w:rsidR="00393EEB" w:rsidRDefault="00393EEB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393EEB" w:rsidRPr="00CC7CDD" w:rsidRDefault="00C40BF4" w:rsidP="00CC7CDD">
          <w:pPr>
            <w:pStyle w:val="footersubtitle"/>
            <w:jc w:val="right"/>
          </w:pPr>
          <w:sdt>
            <w:sdtPr>
              <w:alias w:val="Publication Date"/>
              <w:tag w:val=""/>
              <w:id w:val="903257304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3EEB" w:rsidRPr="00CC7CDD">
                <w:rPr>
                  <w:shd w:val="clear" w:color="auto" w:fill="F7EA9F" w:themeFill="accent6"/>
                </w:rPr>
                <w:t>[Publish Date]</w:t>
              </w:r>
            </w:sdtContent>
          </w:sdt>
          <w:r w:rsidR="00393EEB" w:rsidRPr="00CC7CDD">
            <w:t xml:space="preserve"> </w:t>
          </w:r>
        </w:p>
      </w:tc>
    </w:tr>
    <w:tr w:rsidR="00393EEB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616712813"/>
            <w:docPartObj>
              <w:docPartGallery w:val="Page Numbers (Top of Page)"/>
              <w:docPartUnique/>
            </w:docPartObj>
          </w:sdtPr>
          <w:sdtEndPr/>
          <w:sdtContent>
            <w:p w:rsidR="00393EEB" w:rsidRPr="00914504" w:rsidRDefault="00393EEB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C40BF4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C40BF4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393EEB" w:rsidRDefault="00393EEB" w:rsidP="0085726A">
    <w:pPr>
      <w:pStyle w:val="Smallspace"/>
    </w:pPr>
  </w:p>
  <w:p w:rsidR="00393EEB" w:rsidRDefault="00393EEB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22" w:rsidRPr="00E95E3F" w:rsidRDefault="00094122" w:rsidP="00B3438C">
      <w:pPr>
        <w:pStyle w:val="footnoteseparator"/>
      </w:pPr>
    </w:p>
  </w:footnote>
  <w:footnote w:type="continuationSeparator" w:id="0">
    <w:p w:rsidR="00094122" w:rsidRDefault="00094122">
      <w:r>
        <w:continuationSeparator/>
      </w:r>
    </w:p>
    <w:p w:rsidR="00094122" w:rsidRDefault="000941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01553E"/>
    <w:multiLevelType w:val="hybridMultilevel"/>
    <w:tmpl w:val="D3F612BA"/>
    <w:lvl w:ilvl="0" w:tplc="A5E0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2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C4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C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2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2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A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2D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387B26"/>
    <w:multiLevelType w:val="hybridMultilevel"/>
    <w:tmpl w:val="7C3C9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D12568C"/>
    <w:multiLevelType w:val="singleLevel"/>
    <w:tmpl w:val="EFA65490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4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7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592233F0"/>
    <w:multiLevelType w:val="multilevel"/>
    <w:tmpl w:val="5964D426"/>
    <w:numStyleLink w:val="ListTableNumber"/>
  </w:abstractNum>
  <w:abstractNum w:abstractNumId="20">
    <w:nsid w:val="5C4F097F"/>
    <w:multiLevelType w:val="hybridMultilevel"/>
    <w:tmpl w:val="0F768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167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5">
    <w:nsid w:val="763D62A3"/>
    <w:multiLevelType w:val="hybridMultilevel"/>
    <w:tmpl w:val="BA587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2454E"/>
    <w:multiLevelType w:val="multilevel"/>
    <w:tmpl w:val="2D50BC1C"/>
    <w:numStyleLink w:val="ListHeadings"/>
  </w:abstractNum>
  <w:num w:numId="1">
    <w:abstractNumId w:val="19"/>
  </w:num>
  <w:num w:numId="2">
    <w:abstractNumId w:val="11"/>
  </w:num>
  <w:num w:numId="3">
    <w:abstractNumId w:val="14"/>
  </w:num>
  <w:num w:numId="4">
    <w:abstractNumId w:val="7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5"/>
  </w:num>
  <w:num w:numId="14">
    <w:abstractNumId w:val="22"/>
  </w:num>
  <w:num w:numId="15">
    <w:abstractNumId w:val="17"/>
  </w:num>
  <w:num w:numId="16">
    <w:abstractNumId w:val="21"/>
  </w:num>
  <w:num w:numId="17">
    <w:abstractNumId w:val="16"/>
  </w:num>
  <w:num w:numId="18">
    <w:abstractNumId w:val="4"/>
  </w:num>
  <w:num w:numId="19">
    <w:abstractNumId w:val="12"/>
  </w:num>
  <w:num w:numId="20">
    <w:abstractNumId w:val="5"/>
  </w:num>
  <w:num w:numId="21">
    <w:abstractNumId w:val="27"/>
  </w:num>
  <w:num w:numId="22">
    <w:abstractNumId w:val="24"/>
  </w:num>
  <w:num w:numId="23">
    <w:abstractNumId w:val="26"/>
  </w:num>
  <w:num w:numId="24">
    <w:abstractNumId w:val="19"/>
  </w:num>
  <w:num w:numId="25">
    <w:abstractNumId w:val="18"/>
  </w:num>
  <w:num w:numId="26">
    <w:abstractNumId w:val="23"/>
  </w:num>
  <w:num w:numId="27">
    <w:abstractNumId w:val="25"/>
  </w:num>
  <w:num w:numId="28">
    <w:abstractNumId w:val="10"/>
  </w:num>
  <w:num w:numId="29">
    <w:abstractNumId w:val="20"/>
  </w:num>
  <w:num w:numId="30">
    <w:abstractNumId w:val="9"/>
  </w:num>
  <w:num w:numId="3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D2"/>
    <w:rsid w:val="00002D5B"/>
    <w:rsid w:val="00003A28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2A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2AAF"/>
    <w:rsid w:val="0007358E"/>
    <w:rsid w:val="00073BF5"/>
    <w:rsid w:val="00074F2E"/>
    <w:rsid w:val="00075317"/>
    <w:rsid w:val="000764AB"/>
    <w:rsid w:val="000775A1"/>
    <w:rsid w:val="00081420"/>
    <w:rsid w:val="0008306F"/>
    <w:rsid w:val="000843E5"/>
    <w:rsid w:val="000852BB"/>
    <w:rsid w:val="00086AA0"/>
    <w:rsid w:val="00087B97"/>
    <w:rsid w:val="00091F28"/>
    <w:rsid w:val="00092359"/>
    <w:rsid w:val="000928DA"/>
    <w:rsid w:val="00094122"/>
    <w:rsid w:val="00094BC9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1ABA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3D0A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07F"/>
    <w:rsid w:val="001B1919"/>
    <w:rsid w:val="001B2F6C"/>
    <w:rsid w:val="001B3287"/>
    <w:rsid w:val="001B5C0D"/>
    <w:rsid w:val="001B5F92"/>
    <w:rsid w:val="001C24A0"/>
    <w:rsid w:val="001C3385"/>
    <w:rsid w:val="001C363B"/>
    <w:rsid w:val="001C66E1"/>
    <w:rsid w:val="001C6D32"/>
    <w:rsid w:val="001C7DF9"/>
    <w:rsid w:val="001D09F5"/>
    <w:rsid w:val="001D11D6"/>
    <w:rsid w:val="001D2FEF"/>
    <w:rsid w:val="001D6B89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182"/>
    <w:rsid w:val="00235ADC"/>
    <w:rsid w:val="002406AA"/>
    <w:rsid w:val="00240887"/>
    <w:rsid w:val="002419B6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2BD9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1BF"/>
    <w:rsid w:val="003703FD"/>
    <w:rsid w:val="00372E92"/>
    <w:rsid w:val="0037352C"/>
    <w:rsid w:val="00374B3F"/>
    <w:rsid w:val="00376A9F"/>
    <w:rsid w:val="003836CE"/>
    <w:rsid w:val="00386766"/>
    <w:rsid w:val="0039039F"/>
    <w:rsid w:val="0039306E"/>
    <w:rsid w:val="00393E8B"/>
    <w:rsid w:val="00393EE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9EE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9ED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1880"/>
    <w:rsid w:val="00472274"/>
    <w:rsid w:val="00472F71"/>
    <w:rsid w:val="004730FF"/>
    <w:rsid w:val="00474E4D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97AB2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4A44"/>
    <w:rsid w:val="00505A4A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6142"/>
    <w:rsid w:val="00527F4D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17F"/>
    <w:rsid w:val="0055092E"/>
    <w:rsid w:val="00551D60"/>
    <w:rsid w:val="0055229F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4522"/>
    <w:rsid w:val="005A5EE6"/>
    <w:rsid w:val="005B3664"/>
    <w:rsid w:val="005B4F44"/>
    <w:rsid w:val="005B60B3"/>
    <w:rsid w:val="005C021D"/>
    <w:rsid w:val="005C0D7A"/>
    <w:rsid w:val="005C3905"/>
    <w:rsid w:val="005C58E2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22E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0A84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5D63"/>
    <w:rsid w:val="00706150"/>
    <w:rsid w:val="00706458"/>
    <w:rsid w:val="007108A5"/>
    <w:rsid w:val="00710D10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127"/>
    <w:rsid w:val="00785BE4"/>
    <w:rsid w:val="0078788F"/>
    <w:rsid w:val="007909F5"/>
    <w:rsid w:val="00791309"/>
    <w:rsid w:val="00792FA6"/>
    <w:rsid w:val="007938DF"/>
    <w:rsid w:val="007950ED"/>
    <w:rsid w:val="007952AD"/>
    <w:rsid w:val="00795FDE"/>
    <w:rsid w:val="00797D77"/>
    <w:rsid w:val="007A1268"/>
    <w:rsid w:val="007A143B"/>
    <w:rsid w:val="007A22ED"/>
    <w:rsid w:val="007A308A"/>
    <w:rsid w:val="007A3DF3"/>
    <w:rsid w:val="007A40D9"/>
    <w:rsid w:val="007A46D2"/>
    <w:rsid w:val="007A49A0"/>
    <w:rsid w:val="007A4AD9"/>
    <w:rsid w:val="007A570B"/>
    <w:rsid w:val="007A7757"/>
    <w:rsid w:val="007B1616"/>
    <w:rsid w:val="007B16C7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14F"/>
    <w:rsid w:val="008132C9"/>
    <w:rsid w:val="0081438A"/>
    <w:rsid w:val="008148A2"/>
    <w:rsid w:val="008159C0"/>
    <w:rsid w:val="00817B91"/>
    <w:rsid w:val="008217FA"/>
    <w:rsid w:val="008227F9"/>
    <w:rsid w:val="00822D12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51AAA"/>
    <w:rsid w:val="008535C7"/>
    <w:rsid w:val="0085374A"/>
    <w:rsid w:val="00854412"/>
    <w:rsid w:val="00855EA5"/>
    <w:rsid w:val="0085726A"/>
    <w:rsid w:val="00860177"/>
    <w:rsid w:val="00860473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0DFB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4388"/>
    <w:rsid w:val="00980AE8"/>
    <w:rsid w:val="00981125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179D"/>
    <w:rsid w:val="009E44B4"/>
    <w:rsid w:val="009E4546"/>
    <w:rsid w:val="009E4E3E"/>
    <w:rsid w:val="009E5787"/>
    <w:rsid w:val="009E58AA"/>
    <w:rsid w:val="009E5F85"/>
    <w:rsid w:val="009E6A14"/>
    <w:rsid w:val="009F045E"/>
    <w:rsid w:val="009F0A8A"/>
    <w:rsid w:val="009F2C8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3259"/>
    <w:rsid w:val="00A453C6"/>
    <w:rsid w:val="00A469FB"/>
    <w:rsid w:val="00A502D2"/>
    <w:rsid w:val="00A508A9"/>
    <w:rsid w:val="00A552F0"/>
    <w:rsid w:val="00A56835"/>
    <w:rsid w:val="00A56A81"/>
    <w:rsid w:val="00A60306"/>
    <w:rsid w:val="00A6070D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2E5E"/>
    <w:rsid w:val="00A73CFE"/>
    <w:rsid w:val="00A74FB4"/>
    <w:rsid w:val="00A75428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802"/>
    <w:rsid w:val="00AC5E37"/>
    <w:rsid w:val="00AD2166"/>
    <w:rsid w:val="00AD2F8E"/>
    <w:rsid w:val="00AD301B"/>
    <w:rsid w:val="00AD6800"/>
    <w:rsid w:val="00AD7277"/>
    <w:rsid w:val="00AD72D0"/>
    <w:rsid w:val="00AD76CB"/>
    <w:rsid w:val="00AE08EF"/>
    <w:rsid w:val="00AE3BE7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0FEC"/>
    <w:rsid w:val="00B115C9"/>
    <w:rsid w:val="00B14F7C"/>
    <w:rsid w:val="00B176A0"/>
    <w:rsid w:val="00B21D7E"/>
    <w:rsid w:val="00B2267E"/>
    <w:rsid w:val="00B23C73"/>
    <w:rsid w:val="00B2576D"/>
    <w:rsid w:val="00B25A47"/>
    <w:rsid w:val="00B25C54"/>
    <w:rsid w:val="00B263A6"/>
    <w:rsid w:val="00B30B8B"/>
    <w:rsid w:val="00B32FDE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6755A"/>
    <w:rsid w:val="00B70983"/>
    <w:rsid w:val="00B72DFF"/>
    <w:rsid w:val="00B7502A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97944"/>
    <w:rsid w:val="00BA053C"/>
    <w:rsid w:val="00BA1430"/>
    <w:rsid w:val="00BA365C"/>
    <w:rsid w:val="00BA400D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DCB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0BF4"/>
    <w:rsid w:val="00C465F9"/>
    <w:rsid w:val="00C51328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861AB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CDD"/>
    <w:rsid w:val="00CD08F0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2E4F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3FD5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298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5C18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1329"/>
    <w:rsid w:val="00E73328"/>
    <w:rsid w:val="00E74088"/>
    <w:rsid w:val="00E74A59"/>
    <w:rsid w:val="00E74EAA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D72FB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198F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0584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989"/>
    <w:rsid w:val="00FB1D8F"/>
    <w:rsid w:val="00FB3234"/>
    <w:rsid w:val="00FB3438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5A38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5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2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4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8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1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6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6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6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6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1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1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2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Normal"/>
    <w:uiPriority w:val="4"/>
    <w:qFormat/>
    <w:rsid w:val="00171ABA"/>
    <w:pPr>
      <w:numPr>
        <w:numId w:val="31"/>
      </w:numPr>
      <w:tabs>
        <w:tab w:val="left" w:pos="170"/>
      </w:tabs>
      <w:spacing w:before="40" w:after="40"/>
      <w:ind w:left="170" w:hanging="170"/>
    </w:pPr>
    <w:rPr>
      <w:color w:val="000000" w:themeColor="text1"/>
      <w:sz w:val="19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7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26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4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3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1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4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5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0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7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4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9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5"/>
      </w:numPr>
    </w:pPr>
  </w:style>
  <w:style w:type="numbering" w:customStyle="1" w:styleId="ListBullet1">
    <w:name w:val="List_Bullet1"/>
    <w:uiPriority w:val="99"/>
    <w:rsid w:val="005B4F44"/>
    <w:pPr>
      <w:numPr>
        <w:numId w:val="13"/>
      </w:numPr>
    </w:pPr>
  </w:style>
  <w:style w:type="numbering" w:customStyle="1" w:styleId="BulletsList">
    <w:name w:val="BulletsList"/>
    <w:uiPriority w:val="99"/>
    <w:rsid w:val="005B4F44"/>
    <w:pPr>
      <w:numPr>
        <w:numId w:val="2"/>
      </w:numPr>
    </w:pPr>
  </w:style>
  <w:style w:type="numbering" w:customStyle="1" w:styleId="BulletsList1">
    <w:name w:val="BulletsList1"/>
    <w:uiPriority w:val="99"/>
    <w:rsid w:val="005B4F44"/>
    <w:pPr>
      <w:numPr>
        <w:numId w:val="3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  <w:style w:type="paragraph" w:styleId="Revision">
    <w:name w:val="Revision"/>
    <w:hidden/>
    <w:uiPriority w:val="99"/>
    <w:semiHidden/>
    <w:rsid w:val="00A72E5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5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2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4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8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1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6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6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6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6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1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1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2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Normal"/>
    <w:uiPriority w:val="4"/>
    <w:qFormat/>
    <w:rsid w:val="00171ABA"/>
    <w:pPr>
      <w:numPr>
        <w:numId w:val="31"/>
      </w:numPr>
      <w:tabs>
        <w:tab w:val="left" w:pos="170"/>
      </w:tabs>
      <w:spacing w:before="40" w:after="40"/>
      <w:ind w:left="170" w:hanging="170"/>
    </w:pPr>
    <w:rPr>
      <w:color w:val="000000" w:themeColor="text1"/>
      <w:sz w:val="19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7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26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4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3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1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4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5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0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7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4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9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5"/>
      </w:numPr>
    </w:pPr>
  </w:style>
  <w:style w:type="numbering" w:customStyle="1" w:styleId="ListBullet1">
    <w:name w:val="List_Bullet1"/>
    <w:uiPriority w:val="99"/>
    <w:rsid w:val="005B4F44"/>
    <w:pPr>
      <w:numPr>
        <w:numId w:val="13"/>
      </w:numPr>
    </w:pPr>
  </w:style>
  <w:style w:type="numbering" w:customStyle="1" w:styleId="BulletsList">
    <w:name w:val="BulletsList"/>
    <w:uiPriority w:val="99"/>
    <w:rsid w:val="005B4F44"/>
    <w:pPr>
      <w:numPr>
        <w:numId w:val="2"/>
      </w:numPr>
    </w:pPr>
  </w:style>
  <w:style w:type="numbering" w:customStyle="1" w:styleId="BulletsList1">
    <w:name w:val="BulletsList1"/>
    <w:uiPriority w:val="99"/>
    <w:rsid w:val="005B4F44"/>
    <w:pPr>
      <w:numPr>
        <w:numId w:val="3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  <w:style w:type="paragraph" w:styleId="Revision">
    <w:name w:val="Revision"/>
    <w:hidden/>
    <w:uiPriority w:val="99"/>
    <w:semiHidden/>
    <w:rsid w:val="00A72E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3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63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1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5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0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45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2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4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8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6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7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076F09AE8C4CCA8D4B16CFDBF2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46E-033F-4032-B875-2E28142813A2}"/>
      </w:docPartPr>
      <w:docPartBody>
        <w:p w:rsidR="008F7750" w:rsidRDefault="008F7750" w:rsidP="008F7750">
          <w:pPr>
            <w:pStyle w:val="11076F09AE8C4CCA8D4B16CFDBF218371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56BC02A0B1794DD981E5BC6ADAC2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C6C51-4309-43FF-90E0-8EA5BCD78FFE}"/>
      </w:docPartPr>
      <w:docPartBody>
        <w:p w:rsidR="00C3343C" w:rsidRDefault="008F7750">
          <w:r>
            <w:t xml:space="preserve">     </w:t>
          </w:r>
        </w:p>
      </w:docPartBody>
    </w:docPart>
    <w:docPart>
      <w:docPartPr>
        <w:name w:val="D65250BC5C8946C3812EF8ACD98D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DB46-BE35-44E6-83F0-EAF6892EFFC6}"/>
      </w:docPartPr>
      <w:docPartBody>
        <w:p w:rsidR="00C3343C" w:rsidRDefault="008F7750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0"/>
    <w:rsid w:val="003C35E3"/>
    <w:rsid w:val="005E2004"/>
    <w:rsid w:val="008F7750"/>
    <w:rsid w:val="00C3343C"/>
    <w:rsid w:val="00E63417"/>
    <w:rsid w:val="00F17883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76F09AE8C4CCA8D4B16CFDBF21837">
    <w:name w:val="11076F09AE8C4CCA8D4B16CFDBF21837"/>
  </w:style>
  <w:style w:type="paragraph" w:customStyle="1" w:styleId="4A05518DA945471C90E94776CC4A08A8">
    <w:name w:val="4A05518DA945471C90E94776CC4A08A8"/>
  </w:style>
  <w:style w:type="paragraph" w:customStyle="1" w:styleId="5F14D531D52E4EDD90DBA602E22C96AA">
    <w:name w:val="5F14D531D52E4EDD90DBA602E22C96AA"/>
  </w:style>
  <w:style w:type="paragraph" w:customStyle="1" w:styleId="0BC973C610424EF1B5C9B205DCD66D24">
    <w:name w:val="0BC973C610424EF1B5C9B205DCD66D24"/>
  </w:style>
  <w:style w:type="paragraph" w:customStyle="1" w:styleId="FDFC7DAB93064788A964C2CEB6A23510">
    <w:name w:val="FDFC7DAB93064788A964C2CEB6A23510"/>
  </w:style>
  <w:style w:type="paragraph" w:customStyle="1" w:styleId="2BF4E7ADBF2B46E1A28C54B86916D12A">
    <w:name w:val="2BF4E7ADBF2B46E1A28C54B86916D12A"/>
  </w:style>
  <w:style w:type="character" w:styleId="PlaceholderText">
    <w:name w:val="Placeholder Text"/>
    <w:basedOn w:val="DefaultParagraphFont"/>
    <w:uiPriority w:val="99"/>
    <w:semiHidden/>
    <w:rsid w:val="008F7750"/>
    <w:rPr>
      <w:color w:val="808080"/>
    </w:rPr>
  </w:style>
  <w:style w:type="paragraph" w:customStyle="1" w:styleId="11076F09AE8C4CCA8D4B16CFDBF218371">
    <w:name w:val="11076F09AE8C4CCA8D4B16CFDBF218371"/>
    <w:rsid w:val="008F7750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6"/>
    </w:rPr>
  </w:style>
  <w:style w:type="paragraph" w:customStyle="1" w:styleId="4A05518DA945471C90E94776CC4A08A81">
    <w:name w:val="4A05518DA945471C90E94776CC4A08A81"/>
    <w:rsid w:val="008F7750"/>
    <w:pPr>
      <w:spacing w:after="120" w:line="264" w:lineRule="auto"/>
    </w:pPr>
    <w:rPr>
      <w:rFonts w:ascii="Arial" w:eastAsia="Times New Roman" w:hAnsi="Arial" w:cs="Arial"/>
      <w:color w:val="808184"/>
      <w:kern w:val="28"/>
      <w:sz w:val="32"/>
      <w:szCs w:val="32"/>
    </w:rPr>
  </w:style>
  <w:style w:type="paragraph" w:customStyle="1" w:styleId="5F14D531D52E4EDD90DBA602E22C96AA1">
    <w:name w:val="5F14D531D52E4EDD90DBA602E22C96A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BC973C610424EF1B5C9B205DCD66D241">
    <w:name w:val="0BC973C610424EF1B5C9B205DCD66D24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FDFC7DAB93064788A964C2CEB6A235101">
    <w:name w:val="FDFC7DAB93064788A964C2CEB6A23510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BF4E7ADBF2B46E1A28C54B86916D12A1">
    <w:name w:val="2BF4E7ADBF2B46E1A28C54B86916D12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A577804F73443AD814886292C44355D">
    <w:name w:val="6A577804F73443AD814886292C44355D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1">
    <w:name w:val="6A577804F73443AD814886292C44355D1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2">
    <w:name w:val="6A577804F73443AD814886292C44355D2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3">
    <w:name w:val="6A577804F73443AD814886292C44355D3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0656DA716A9B4166B7B04264805B0497">
    <w:name w:val="0656DA716A9B4166B7B04264805B0497"/>
    <w:rsid w:val="008F7750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76F09AE8C4CCA8D4B16CFDBF21837">
    <w:name w:val="11076F09AE8C4CCA8D4B16CFDBF21837"/>
  </w:style>
  <w:style w:type="paragraph" w:customStyle="1" w:styleId="4A05518DA945471C90E94776CC4A08A8">
    <w:name w:val="4A05518DA945471C90E94776CC4A08A8"/>
  </w:style>
  <w:style w:type="paragraph" w:customStyle="1" w:styleId="5F14D531D52E4EDD90DBA602E22C96AA">
    <w:name w:val="5F14D531D52E4EDD90DBA602E22C96AA"/>
  </w:style>
  <w:style w:type="paragraph" w:customStyle="1" w:styleId="0BC973C610424EF1B5C9B205DCD66D24">
    <w:name w:val="0BC973C610424EF1B5C9B205DCD66D24"/>
  </w:style>
  <w:style w:type="paragraph" w:customStyle="1" w:styleId="FDFC7DAB93064788A964C2CEB6A23510">
    <w:name w:val="FDFC7DAB93064788A964C2CEB6A23510"/>
  </w:style>
  <w:style w:type="paragraph" w:customStyle="1" w:styleId="2BF4E7ADBF2B46E1A28C54B86916D12A">
    <w:name w:val="2BF4E7ADBF2B46E1A28C54B86916D12A"/>
  </w:style>
  <w:style w:type="character" w:styleId="PlaceholderText">
    <w:name w:val="Placeholder Text"/>
    <w:basedOn w:val="DefaultParagraphFont"/>
    <w:uiPriority w:val="99"/>
    <w:semiHidden/>
    <w:rsid w:val="008F7750"/>
    <w:rPr>
      <w:color w:val="808080"/>
    </w:rPr>
  </w:style>
  <w:style w:type="paragraph" w:customStyle="1" w:styleId="11076F09AE8C4CCA8D4B16CFDBF218371">
    <w:name w:val="11076F09AE8C4CCA8D4B16CFDBF218371"/>
    <w:rsid w:val="008F7750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6"/>
    </w:rPr>
  </w:style>
  <w:style w:type="paragraph" w:customStyle="1" w:styleId="4A05518DA945471C90E94776CC4A08A81">
    <w:name w:val="4A05518DA945471C90E94776CC4A08A81"/>
    <w:rsid w:val="008F7750"/>
    <w:pPr>
      <w:spacing w:after="120" w:line="264" w:lineRule="auto"/>
    </w:pPr>
    <w:rPr>
      <w:rFonts w:ascii="Arial" w:eastAsia="Times New Roman" w:hAnsi="Arial" w:cs="Arial"/>
      <w:color w:val="808184"/>
      <w:kern w:val="28"/>
      <w:sz w:val="32"/>
      <w:szCs w:val="32"/>
    </w:rPr>
  </w:style>
  <w:style w:type="paragraph" w:customStyle="1" w:styleId="5F14D531D52E4EDD90DBA602E22C96AA1">
    <w:name w:val="5F14D531D52E4EDD90DBA602E22C96A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BC973C610424EF1B5C9B205DCD66D241">
    <w:name w:val="0BC973C610424EF1B5C9B205DCD66D24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FDFC7DAB93064788A964C2CEB6A235101">
    <w:name w:val="FDFC7DAB93064788A964C2CEB6A23510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BF4E7ADBF2B46E1A28C54B86916D12A1">
    <w:name w:val="2BF4E7ADBF2B46E1A28C54B86916D12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A577804F73443AD814886292C44355D">
    <w:name w:val="6A577804F73443AD814886292C44355D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1">
    <w:name w:val="6A577804F73443AD814886292C44355D1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2">
    <w:name w:val="6A577804F73443AD814886292C44355D2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3">
    <w:name w:val="6A577804F73443AD814886292C44355D3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0656DA716A9B4166B7B04264805B0497">
    <w:name w:val="0656DA716A9B4166B7B04264805B0497"/>
    <w:rsid w:val="008F7750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Teacher decision-making in the early years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C7B3732AB8546B387ABC1F8F0FB2A" ma:contentTypeVersion="0" ma:contentTypeDescription="Create a new document." ma:contentTypeScope="" ma:versionID="c667244f083121441678b0f427f61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1ED80B-EAE8-4D85-88C9-2172463C9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17EA6143-7C93-4B3F-A69C-A4B17603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1919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Curriculum and Assessment Authority</dc:creator>
  <cp:lastModifiedBy>Editor GH</cp:lastModifiedBy>
  <cp:revision>4</cp:revision>
  <cp:lastPrinted>2015-09-29T00:27:00Z</cp:lastPrinted>
  <dcterms:created xsi:type="dcterms:W3CDTF">2015-09-29T00:25:00Z</dcterms:created>
  <dcterms:modified xsi:type="dcterms:W3CDTF">2015-09-29T00:27:00Z</dcterms:modified>
  <cp:category>150819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0x010100EE3C7B3732AB8546B387ABC1F8F0FB2A</vt:lpwstr>
  </property>
  <property fmtid="{D5CDD505-2E9C-101B-9397-08002B2CF9AE}" pid="3" name="Order">
    <vt:r8>29900</vt:r8>
  </property>
</Properties>
</file>